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DF5D" w14:textId="7B10A01F" w:rsidR="008904FA" w:rsidRDefault="00F31FF5" w:rsidP="008904F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PLIEGO DE </w:t>
      </w:r>
      <w:r w:rsidR="004B60A0">
        <w:rPr>
          <w:rFonts w:ascii="Arial" w:eastAsia="Arial" w:hAnsi="Arial" w:cs="Arial"/>
          <w:b/>
        </w:rPr>
        <w:t>ABSOLUCIÓN</w:t>
      </w:r>
      <w:r>
        <w:rPr>
          <w:rFonts w:ascii="Arial" w:eastAsia="Arial" w:hAnsi="Arial" w:cs="Arial"/>
          <w:b/>
        </w:rPr>
        <w:t xml:space="preserve"> DE</w:t>
      </w:r>
      <w:r w:rsidR="008904FA">
        <w:rPr>
          <w:rFonts w:ascii="Arial" w:eastAsia="Arial" w:hAnsi="Arial" w:cs="Arial"/>
          <w:b/>
        </w:rPr>
        <w:t xml:space="preserve"> ACLARACIONES</w:t>
      </w:r>
    </w:p>
    <w:p w14:paraId="2C7AB878" w14:textId="5F90212F" w:rsidR="008904FA" w:rsidRPr="003E62A2" w:rsidRDefault="008904FA" w:rsidP="008904FA">
      <w:pPr>
        <w:spacing w:after="0" w:line="240" w:lineRule="auto"/>
        <w:jc w:val="center"/>
        <w:rPr>
          <w:rFonts w:ascii="Arial" w:eastAsia="Arial" w:hAnsi="Arial" w:cs="Arial"/>
          <w:b/>
          <w:sz w:val="12"/>
        </w:rPr>
      </w:pPr>
    </w:p>
    <w:p w14:paraId="7B03AA95" w14:textId="62B2FCA8" w:rsidR="008904FA" w:rsidRDefault="00013A48" w:rsidP="008904FA">
      <w:pPr>
        <w:spacing w:after="0" w:line="240" w:lineRule="auto"/>
        <w:jc w:val="center"/>
        <w:rPr>
          <w:b/>
        </w:rPr>
      </w:pPr>
      <w:r>
        <w:rPr>
          <w:rFonts w:ascii="Arial" w:eastAsia="Arial" w:hAnsi="Arial" w:cs="Arial"/>
          <w:b/>
        </w:rPr>
        <w:t>CP</w:t>
      </w:r>
      <w:r w:rsidR="008904FA">
        <w:rPr>
          <w:rFonts w:ascii="Arial" w:eastAsia="Arial" w:hAnsi="Arial" w:cs="Arial"/>
          <w:b/>
        </w:rPr>
        <w:t xml:space="preserve"> N° </w:t>
      </w:r>
      <w:r w:rsidR="00AB0FB6">
        <w:rPr>
          <w:rFonts w:ascii="Arial" w:eastAsia="Arial" w:hAnsi="Arial" w:cs="Arial"/>
          <w:b/>
        </w:rPr>
        <w:t>034</w:t>
      </w:r>
      <w:r w:rsidRPr="00013A48">
        <w:rPr>
          <w:rFonts w:ascii="Arial" w:eastAsia="Arial" w:hAnsi="Arial" w:cs="Arial"/>
          <w:b/>
        </w:rPr>
        <w:t>-2024-UE.118-PMESUT</w:t>
      </w:r>
    </w:p>
    <w:p w14:paraId="56B411E9" w14:textId="40699ACA" w:rsidR="008904FA" w:rsidRPr="00E02988" w:rsidRDefault="00013A48" w:rsidP="008904FA">
      <w:pPr>
        <w:tabs>
          <w:tab w:val="left" w:pos="0"/>
        </w:tabs>
        <w:jc w:val="center"/>
        <w:rPr>
          <w:rFonts w:ascii="Arial" w:hAnsi="Arial" w:cs="Arial"/>
          <w:bCs/>
          <w:szCs w:val="28"/>
        </w:rPr>
      </w:pPr>
      <w:r>
        <w:rPr>
          <w:rFonts w:ascii="Arial" w:eastAsia="Arial" w:hAnsi="Arial" w:cs="Arial"/>
          <w:b/>
        </w:rPr>
        <w:t>“</w:t>
      </w:r>
      <w:r w:rsidR="00AB0FB6" w:rsidRPr="00AB0FB6">
        <w:rPr>
          <w:rFonts w:ascii="Arial" w:eastAsia="Arial" w:hAnsi="Arial" w:cs="Arial"/>
          <w:b/>
        </w:rPr>
        <w:t>CONTRATACIÓN DEL SERVICIO DE ACONDICIONAMIENTO Y HABILITACIÓN DE AMBIENTES DEL PROGRAMA DE ESTUDIO DE ENFERMERÍA TÉCNICA - DÉCIMO SEGUNDO</w:t>
      </w:r>
      <w:r w:rsidR="008904FA" w:rsidRPr="00E02988">
        <w:rPr>
          <w:rFonts w:ascii="Arial" w:eastAsia="Arial" w:hAnsi="Arial" w:cs="Arial"/>
          <w:b/>
        </w:rPr>
        <w:t>”</w:t>
      </w:r>
    </w:p>
    <w:p w14:paraId="551FF42E" w14:textId="02A19C4A" w:rsidR="008904FA" w:rsidRDefault="008904FA">
      <w:pPr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14:paraId="45E76F10" w14:textId="1D659946" w:rsidR="008904FA" w:rsidRDefault="008904FA">
      <w:pPr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14:paraId="44651A52" w14:textId="70B51483" w:rsidR="0071195D" w:rsidRDefault="0071195D">
      <w:pPr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tbl>
      <w:tblPr>
        <w:tblStyle w:val="a"/>
        <w:tblW w:w="124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126"/>
        <w:gridCol w:w="5670"/>
        <w:gridCol w:w="4164"/>
      </w:tblGrid>
      <w:tr w:rsidR="00013A48" w14:paraId="2C9E47C9" w14:textId="6C127270" w:rsidTr="00734666">
        <w:trPr>
          <w:trHeight w:val="388"/>
          <w:jc w:val="center"/>
        </w:trPr>
        <w:tc>
          <w:tcPr>
            <w:tcW w:w="509" w:type="dxa"/>
            <w:shd w:val="clear" w:color="auto" w:fill="FBE5D5"/>
            <w:vAlign w:val="center"/>
          </w:tcPr>
          <w:p w14:paraId="75AFA237" w14:textId="77777777" w:rsidR="00013A48" w:rsidRDefault="00013A4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2126" w:type="dxa"/>
            <w:shd w:val="clear" w:color="auto" w:fill="FBE5D5"/>
            <w:vAlign w:val="center"/>
          </w:tcPr>
          <w:p w14:paraId="047D6312" w14:textId="77777777" w:rsidR="00013A48" w:rsidRDefault="00013A48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Numeral, Literal</w:t>
            </w:r>
          </w:p>
        </w:tc>
        <w:tc>
          <w:tcPr>
            <w:tcW w:w="5670" w:type="dxa"/>
            <w:shd w:val="clear" w:color="auto" w:fill="FBE5D5"/>
            <w:vAlign w:val="center"/>
          </w:tcPr>
          <w:p w14:paraId="594E51A0" w14:textId="77777777" w:rsidR="00013A48" w:rsidRDefault="00013A48" w:rsidP="003E62A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Solicitud de Aclaración</w:t>
            </w:r>
          </w:p>
        </w:tc>
        <w:tc>
          <w:tcPr>
            <w:tcW w:w="4164" w:type="dxa"/>
            <w:shd w:val="clear" w:color="auto" w:fill="FBE5D5"/>
          </w:tcPr>
          <w:p w14:paraId="1ABD264E" w14:textId="38EDF5B4" w:rsidR="00013A48" w:rsidRDefault="00013A48" w:rsidP="003E62A2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Aclaración</w:t>
            </w:r>
          </w:p>
        </w:tc>
      </w:tr>
      <w:tr w:rsidR="00013A48" w14:paraId="7ECF4628" w14:textId="65733C4D" w:rsidTr="005E7D99">
        <w:trPr>
          <w:trHeight w:val="2083"/>
          <w:jc w:val="center"/>
        </w:trPr>
        <w:tc>
          <w:tcPr>
            <w:tcW w:w="509" w:type="dxa"/>
            <w:vAlign w:val="center"/>
          </w:tcPr>
          <w:p w14:paraId="4F34A9A2" w14:textId="77777777" w:rsidR="00013A48" w:rsidRDefault="00013A48" w:rsidP="00781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23BAFAE1" w14:textId="64696993" w:rsidR="00013A48" w:rsidRDefault="00AB0FB6" w:rsidP="00AB0FB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Numeral 4.6.2. Lineamientos y TDR</w:t>
            </w:r>
          </w:p>
        </w:tc>
        <w:tc>
          <w:tcPr>
            <w:tcW w:w="5670" w:type="dxa"/>
            <w:vAlign w:val="center"/>
          </w:tcPr>
          <w:p w14:paraId="43F02F60" w14:textId="314480C2" w:rsidR="00AB0FB6" w:rsidRDefault="00AB0FB6" w:rsidP="00AB0FB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 xml:space="preserve">En el punto 6 del documento de la referencia establece lo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siguiente: “Cada oferente puede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 xml:space="preserve">participar como máximo en </w:t>
            </w:r>
            <w:r w:rsidR="0080404B">
              <w:rPr>
                <w:rFonts w:ascii="Arial" w:eastAsia="Arial" w:hAnsi="Arial" w:cs="Arial"/>
                <w:sz w:val="16"/>
                <w:szCs w:val="16"/>
              </w:rPr>
              <w:t>dos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 xml:space="preserve"> (03) lotes ya sea esto de manera in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dividual o en consorcio (APCA);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con la finalidad de no afectar la calidad y tiempo de ejecución del servicio”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5BAA7B3" w14:textId="77777777" w:rsidR="00AB0FB6" w:rsidRPr="00AB0FB6" w:rsidRDefault="00AB0FB6" w:rsidP="00AB0FB6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05653E8" w14:textId="77777777" w:rsidR="00AB0FB6" w:rsidRPr="00AB0FB6" w:rsidRDefault="00AB0FB6" w:rsidP="00AB0FB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>Consulta:</w:t>
            </w:r>
          </w:p>
          <w:p w14:paraId="573747ED" w14:textId="1BBCD16B" w:rsidR="00013A48" w:rsidRPr="00F31FF5" w:rsidRDefault="00AB0FB6" w:rsidP="00AB0F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>Al respecto se entiende que sólo debe enviar oferta por 03 lotes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y/o indicar los 03 lotes donde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van a participar y envi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 propuesta por esos lotes. En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caso contrario 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que ¿se puede enviar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oferta por los 04 lotes, las 04 ofertas son evaluadas por el comi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té de evaluación y máximo se le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adjudica dos lotes?</w:t>
            </w:r>
          </w:p>
        </w:tc>
        <w:tc>
          <w:tcPr>
            <w:tcW w:w="4164" w:type="dxa"/>
          </w:tcPr>
          <w:p w14:paraId="5DAE315C" w14:textId="77777777" w:rsidR="00013A48" w:rsidRPr="00BF712D" w:rsidRDefault="00013A48" w:rsidP="008904F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D962604" w14:textId="77777777" w:rsidR="008172F0" w:rsidRPr="00BF712D" w:rsidRDefault="008172F0" w:rsidP="008172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DA7A10" w14:textId="23604363" w:rsidR="00F75F64" w:rsidRPr="00BF712D" w:rsidRDefault="00F75F64" w:rsidP="008172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F712D">
              <w:rPr>
                <w:rFonts w:ascii="Arial" w:eastAsia="Arial" w:hAnsi="Arial" w:cs="Arial"/>
                <w:sz w:val="16"/>
                <w:szCs w:val="16"/>
              </w:rPr>
              <w:t xml:space="preserve">Se mantiene lo establecido en los lineamentos y tdr, respecto a que: “Cada oferente puede participar como máximo en </w:t>
            </w:r>
            <w:r w:rsidR="00425D45">
              <w:rPr>
                <w:rFonts w:ascii="Arial" w:eastAsia="Arial" w:hAnsi="Arial" w:cs="Arial"/>
                <w:sz w:val="16"/>
                <w:szCs w:val="16"/>
              </w:rPr>
              <w:t>tres</w:t>
            </w:r>
            <w:r w:rsidRPr="00BF712D">
              <w:rPr>
                <w:rFonts w:ascii="Arial" w:eastAsia="Arial" w:hAnsi="Arial" w:cs="Arial"/>
                <w:sz w:val="16"/>
                <w:szCs w:val="16"/>
              </w:rPr>
              <w:t xml:space="preserve"> (03) lotes ya sea esto de manera individual o en consorcio (APCA); con la finalidad de no afectar la calidad y tiempo de ejecución del servicio”, por lo tanto no se acoge lo solicitado en la consulta.</w:t>
            </w:r>
          </w:p>
          <w:p w14:paraId="49BEE1A5" w14:textId="77777777" w:rsidR="00F75F64" w:rsidRPr="00BF712D" w:rsidRDefault="00F75F64" w:rsidP="008172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DD3822" w14:textId="370E71B6" w:rsidR="008172F0" w:rsidRPr="00BF712D" w:rsidRDefault="008172F0" w:rsidP="008172F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3A48" w14:paraId="62657298" w14:textId="11BF21E2" w:rsidTr="00734666">
        <w:trPr>
          <w:trHeight w:val="552"/>
          <w:jc w:val="center"/>
        </w:trPr>
        <w:tc>
          <w:tcPr>
            <w:tcW w:w="509" w:type="dxa"/>
            <w:vAlign w:val="center"/>
          </w:tcPr>
          <w:p w14:paraId="70C35E6B" w14:textId="56CF8F20" w:rsidR="00013A48" w:rsidRDefault="00013A48" w:rsidP="00781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14:paraId="2C46B771" w14:textId="7341A6BA" w:rsidR="00013A48" w:rsidRDefault="00AB0FB6" w:rsidP="00AB0FB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Numeral 4.6.8. Lineamientos y TDR</w:t>
            </w:r>
          </w:p>
        </w:tc>
        <w:tc>
          <w:tcPr>
            <w:tcW w:w="5670" w:type="dxa"/>
            <w:vAlign w:val="center"/>
          </w:tcPr>
          <w:p w14:paraId="70C41F28" w14:textId="77777777" w:rsidR="00AB0FB6" w:rsidRDefault="00AB0FB6" w:rsidP="00AB0F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92F0FE" w14:textId="77777777" w:rsidR="00AB0FB6" w:rsidRPr="00AB0FB6" w:rsidRDefault="00AB0FB6" w:rsidP="00AB0F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>Consulta:</w:t>
            </w:r>
          </w:p>
          <w:p w14:paraId="2FF8446A" w14:textId="4F5EBEB6" w:rsidR="00013A48" w:rsidRPr="00F31FF5" w:rsidRDefault="00AB0FB6" w:rsidP="00AB0FB6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>Si bien es cierto, se indica que el personal es único para ca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da lote en el presente proceso,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queremos saber si ello lo excluye de poder presentar al 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ismo personal para otro proceso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 xml:space="preserve">distinto de la entidad, y en caso sea adjudicada la empresa en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o más procesos, éste personal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pueda ser remplazado por otro que cumpla con los requisitos solicitados para el persona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Pr="00AB0FB6">
              <w:rPr>
                <w:rFonts w:ascii="Arial" w:eastAsia="Arial" w:hAnsi="Arial" w:cs="Arial"/>
                <w:sz w:val="16"/>
                <w:szCs w:val="16"/>
              </w:rPr>
              <w:t>propuesto.</w:t>
            </w:r>
          </w:p>
        </w:tc>
        <w:tc>
          <w:tcPr>
            <w:tcW w:w="4164" w:type="dxa"/>
          </w:tcPr>
          <w:p w14:paraId="45DC2ADF" w14:textId="77777777" w:rsidR="00E026FC" w:rsidRPr="00BF712D" w:rsidRDefault="00E026F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B884A5" w14:textId="3C3726F7" w:rsidR="00013A48" w:rsidRPr="00BF712D" w:rsidRDefault="00E026FC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F712D">
              <w:rPr>
                <w:rFonts w:ascii="Arial" w:eastAsia="Arial" w:hAnsi="Arial" w:cs="Arial"/>
                <w:sz w:val="16"/>
                <w:szCs w:val="16"/>
              </w:rPr>
              <w:t xml:space="preserve">De ser adjudicado más de un (01) lote a un oferente, para la suscripción de contrato, el oferente debe tener un personal único para cada </w:t>
            </w:r>
            <w:r w:rsidR="007642D8" w:rsidRPr="00BF712D">
              <w:rPr>
                <w:rFonts w:ascii="Arial" w:eastAsia="Arial" w:hAnsi="Arial" w:cs="Arial"/>
                <w:sz w:val="16"/>
                <w:szCs w:val="16"/>
              </w:rPr>
              <w:t>ítem o servicio</w:t>
            </w:r>
            <w:r w:rsidR="00175381" w:rsidRPr="00BF712D">
              <w:rPr>
                <w:rFonts w:ascii="Arial" w:eastAsia="Arial" w:hAnsi="Arial" w:cs="Arial"/>
                <w:sz w:val="16"/>
                <w:szCs w:val="16"/>
              </w:rPr>
              <w:t>, cumpliendo con</w:t>
            </w:r>
            <w:r w:rsidRPr="00BF712D">
              <w:rPr>
                <w:rFonts w:ascii="Arial" w:eastAsia="Arial" w:hAnsi="Arial" w:cs="Arial"/>
                <w:sz w:val="16"/>
                <w:szCs w:val="16"/>
              </w:rPr>
              <w:t xml:space="preserve"> el perfil </w:t>
            </w:r>
            <w:r w:rsidR="00175381" w:rsidRPr="00BF712D">
              <w:rPr>
                <w:rFonts w:ascii="Arial" w:eastAsia="Arial" w:hAnsi="Arial" w:cs="Arial"/>
                <w:sz w:val="16"/>
                <w:szCs w:val="16"/>
              </w:rPr>
              <w:t xml:space="preserve">mínimo </w:t>
            </w:r>
            <w:r w:rsidRPr="00BF712D">
              <w:rPr>
                <w:rFonts w:ascii="Arial" w:eastAsia="Arial" w:hAnsi="Arial" w:cs="Arial"/>
                <w:sz w:val="16"/>
                <w:szCs w:val="16"/>
              </w:rPr>
              <w:t>del personal propuesto y con el que ha sido adjudicado.</w:t>
            </w:r>
          </w:p>
          <w:p w14:paraId="54C5842F" w14:textId="77777777" w:rsidR="007642D8" w:rsidRPr="00BF712D" w:rsidRDefault="007642D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48CFDC" w14:textId="2662544C" w:rsidR="007642D8" w:rsidRPr="00BF712D" w:rsidRDefault="007642D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F712D">
              <w:rPr>
                <w:rFonts w:ascii="Arial" w:eastAsia="Arial" w:hAnsi="Arial" w:cs="Arial"/>
                <w:sz w:val="16"/>
                <w:szCs w:val="16"/>
              </w:rPr>
              <w:t xml:space="preserve">Es decir, el personal propuesto es único para cada ítem o servicio. </w:t>
            </w:r>
            <w:r w:rsidRPr="00BF712D">
              <w:rPr>
                <w:rFonts w:ascii="Arial" w:eastAsia="Arial" w:hAnsi="Arial" w:cs="Arial"/>
                <w:b/>
                <w:sz w:val="16"/>
                <w:szCs w:val="16"/>
              </w:rPr>
              <w:t>(Ver Enmienda N° 02).</w:t>
            </w:r>
          </w:p>
          <w:p w14:paraId="6C83910C" w14:textId="7986DD13" w:rsidR="007642D8" w:rsidRPr="00BF712D" w:rsidRDefault="007642D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3A48" w14:paraId="14A6CF60" w14:textId="77777777" w:rsidTr="004D78F2">
        <w:trPr>
          <w:trHeight w:val="848"/>
          <w:jc w:val="center"/>
        </w:trPr>
        <w:tc>
          <w:tcPr>
            <w:tcW w:w="509" w:type="dxa"/>
            <w:vAlign w:val="center"/>
          </w:tcPr>
          <w:p w14:paraId="1B8570C2" w14:textId="205B1639" w:rsidR="00013A48" w:rsidRDefault="00013A48" w:rsidP="00781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5D0DD7EE" w14:textId="38A61F9D" w:rsidR="00013A48" w:rsidRPr="00013A48" w:rsidRDefault="00AB0FB6" w:rsidP="00AB0FB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5670" w:type="dxa"/>
            <w:vAlign w:val="center"/>
          </w:tcPr>
          <w:p w14:paraId="7721B3D4" w14:textId="47931A95" w:rsidR="00013A48" w:rsidRPr="00013A48" w:rsidRDefault="00AB0FB6" w:rsidP="00013A4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B0FB6">
              <w:rPr>
                <w:rFonts w:ascii="Arial" w:eastAsia="Arial" w:hAnsi="Arial" w:cs="Arial"/>
                <w:sz w:val="16"/>
                <w:szCs w:val="16"/>
              </w:rPr>
              <w:t>¿Es posible nos puedan brindar los planos en versión Autocad?</w:t>
            </w:r>
          </w:p>
        </w:tc>
        <w:tc>
          <w:tcPr>
            <w:tcW w:w="4164" w:type="dxa"/>
            <w:vAlign w:val="center"/>
          </w:tcPr>
          <w:p w14:paraId="62FCBB35" w14:textId="19680472" w:rsidR="00013A48" w:rsidRPr="00BF712D" w:rsidRDefault="005F5E79" w:rsidP="004D78F2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BF712D">
              <w:rPr>
                <w:rFonts w:ascii="Arial" w:eastAsia="Arial" w:hAnsi="Arial" w:cs="Arial"/>
                <w:sz w:val="16"/>
                <w:szCs w:val="16"/>
              </w:rPr>
              <w:t>Se entregará a los oferentes adjudicados la versión editable (AutoCAD) de los archivos que se encuentran publicados y que forman parte de los procesos de convocatoria.</w:t>
            </w:r>
          </w:p>
        </w:tc>
      </w:tr>
    </w:tbl>
    <w:p w14:paraId="68EA141F" w14:textId="2655DC37" w:rsidR="0071195D" w:rsidRDefault="0071195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7712E078" w14:textId="77777777" w:rsidR="0071195D" w:rsidRDefault="0071195D">
      <w:pPr>
        <w:spacing w:after="0" w:line="240" w:lineRule="auto"/>
      </w:pPr>
    </w:p>
    <w:p w14:paraId="467F3F4A" w14:textId="77777777" w:rsidR="005F5E79" w:rsidRDefault="005F5E79">
      <w:pPr>
        <w:spacing w:after="0" w:line="240" w:lineRule="auto"/>
      </w:pPr>
    </w:p>
    <w:p w14:paraId="1AABC45D" w14:textId="77777777" w:rsidR="005F5E79" w:rsidRDefault="005F5E79">
      <w:pPr>
        <w:spacing w:after="0" w:line="240" w:lineRule="auto"/>
      </w:pPr>
    </w:p>
    <w:p w14:paraId="4A98EC64" w14:textId="77777777" w:rsidR="005F5E79" w:rsidRDefault="005F5E79">
      <w:pPr>
        <w:spacing w:after="0" w:line="240" w:lineRule="auto"/>
      </w:pPr>
    </w:p>
    <w:p w14:paraId="67B1928A" w14:textId="77777777" w:rsidR="005F5E79" w:rsidRDefault="005F5E79">
      <w:pPr>
        <w:spacing w:after="0" w:line="240" w:lineRule="auto"/>
      </w:pPr>
    </w:p>
    <w:p w14:paraId="224FACA6" w14:textId="77777777" w:rsidR="005F5E79" w:rsidRDefault="005F5E79">
      <w:pPr>
        <w:spacing w:after="0" w:line="240" w:lineRule="auto"/>
      </w:pPr>
    </w:p>
    <w:p w14:paraId="659F2116" w14:textId="77777777" w:rsidR="005F5E79" w:rsidRDefault="005F5E79">
      <w:pPr>
        <w:spacing w:after="0" w:line="240" w:lineRule="auto"/>
      </w:pPr>
    </w:p>
    <w:p w14:paraId="24C53F75" w14:textId="77777777" w:rsidR="005F5E79" w:rsidRDefault="005F5E79">
      <w:pPr>
        <w:spacing w:after="0" w:line="240" w:lineRule="auto"/>
      </w:pPr>
    </w:p>
    <w:p w14:paraId="0EA1511D" w14:textId="77777777" w:rsidR="005F5E79" w:rsidRPr="00CD6806" w:rsidRDefault="005F5E79" w:rsidP="005F5E79">
      <w:pPr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CD6806">
        <w:rPr>
          <w:rFonts w:ascii="Arial" w:eastAsiaTheme="minorHAnsi" w:hAnsi="Arial" w:cs="Arial"/>
          <w:b/>
          <w:lang w:eastAsia="en-US"/>
        </w:rPr>
        <w:t>PLIEGO DE ENMIENDAS</w:t>
      </w:r>
    </w:p>
    <w:p w14:paraId="5DB1762A" w14:textId="621D785C" w:rsidR="005F5E79" w:rsidRPr="00CD6806" w:rsidRDefault="005F5E79" w:rsidP="005F5E79">
      <w:pPr>
        <w:spacing w:after="0" w:line="240" w:lineRule="auto"/>
        <w:jc w:val="center"/>
        <w:rPr>
          <w:rFonts w:ascii="Arial" w:eastAsiaTheme="minorHAnsi" w:hAnsi="Arial" w:cs="Arial"/>
          <w:b/>
          <w:lang w:eastAsia="en-US"/>
        </w:rPr>
      </w:pPr>
    </w:p>
    <w:tbl>
      <w:tblPr>
        <w:tblStyle w:val="Tablaconcuadrcula1"/>
        <w:tblW w:w="12532" w:type="dxa"/>
        <w:tblInd w:w="1423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4394"/>
        <w:gridCol w:w="4315"/>
      </w:tblGrid>
      <w:tr w:rsidR="005F5E79" w:rsidRPr="00CD6806" w14:paraId="054113F3" w14:textId="77777777" w:rsidTr="00B54A63">
        <w:trPr>
          <w:trHeight w:val="388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14:paraId="7C0EFEAC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>N° DE ENMIENDA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64D0F62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>SECCIÓN DE LAS EE.TT/LINEAMIENTO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35540908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>NUMERAL, LITERAL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73EB36FE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 xml:space="preserve">DICE </w:t>
            </w:r>
          </w:p>
        </w:tc>
        <w:tc>
          <w:tcPr>
            <w:tcW w:w="4315" w:type="dxa"/>
            <w:shd w:val="clear" w:color="auto" w:fill="FBE4D5" w:themeFill="accent2" w:themeFillTint="33"/>
            <w:vAlign w:val="center"/>
          </w:tcPr>
          <w:p w14:paraId="21A9AC3B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>DEBE DECIR</w:t>
            </w:r>
          </w:p>
        </w:tc>
      </w:tr>
      <w:tr w:rsidR="005F5E79" w:rsidRPr="00CD6806" w14:paraId="66A60146" w14:textId="77777777" w:rsidTr="008B2887">
        <w:trPr>
          <w:trHeight w:val="2332"/>
        </w:trPr>
        <w:tc>
          <w:tcPr>
            <w:tcW w:w="1129" w:type="dxa"/>
            <w:vAlign w:val="center"/>
          </w:tcPr>
          <w:p w14:paraId="2CA713D1" w14:textId="77777777" w:rsidR="005F5E79" w:rsidRPr="00CD6806" w:rsidRDefault="005F5E79" w:rsidP="00B54A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8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20AFF7CB" w14:textId="77777777" w:rsidR="005F5E79" w:rsidRPr="00CD6806" w:rsidRDefault="005F5E79" w:rsidP="00B54A63">
            <w:pPr>
              <w:ind w:left="-142" w:right="-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806">
              <w:rPr>
                <w:rFonts w:ascii="Arial" w:hAnsi="Arial" w:cs="Arial"/>
                <w:sz w:val="16"/>
                <w:szCs w:val="16"/>
              </w:rPr>
              <w:t xml:space="preserve">LINEAMIENTOS </w:t>
            </w:r>
          </w:p>
        </w:tc>
        <w:tc>
          <w:tcPr>
            <w:tcW w:w="1418" w:type="dxa"/>
            <w:vAlign w:val="center"/>
          </w:tcPr>
          <w:p w14:paraId="19C1E96F" w14:textId="77777777" w:rsidR="005F5E79" w:rsidRPr="00CD6806" w:rsidRDefault="005F5E79" w:rsidP="00B54A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6806">
              <w:rPr>
                <w:rFonts w:ascii="Arial" w:hAnsi="Arial" w:cs="Arial"/>
                <w:b/>
                <w:sz w:val="16"/>
                <w:szCs w:val="16"/>
              </w:rPr>
              <w:t>NUMERAL 4.14</w:t>
            </w:r>
          </w:p>
          <w:p w14:paraId="3F251420" w14:textId="77777777" w:rsidR="005F5E79" w:rsidRPr="00CD6806" w:rsidRDefault="005F5E79" w:rsidP="00B54A63">
            <w:pPr>
              <w:rPr>
                <w:rFonts w:ascii="Arial" w:hAnsi="Arial" w:cs="Arial"/>
                <w:sz w:val="16"/>
                <w:szCs w:val="16"/>
              </w:rPr>
            </w:pPr>
            <w:r w:rsidRPr="00CD6806">
              <w:rPr>
                <w:rFonts w:ascii="Arial" w:hAnsi="Arial" w:cs="Arial"/>
                <w:sz w:val="16"/>
                <w:szCs w:val="16"/>
              </w:rPr>
              <w:t>PAGINA N° 11</w:t>
            </w:r>
          </w:p>
        </w:tc>
        <w:tc>
          <w:tcPr>
            <w:tcW w:w="4394" w:type="dxa"/>
            <w:vAlign w:val="center"/>
          </w:tcPr>
          <w:p w14:paraId="0C81F070" w14:textId="77777777" w:rsidR="005F5E79" w:rsidRPr="00CD6806" w:rsidRDefault="005F5E79" w:rsidP="00B54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6806">
              <w:rPr>
                <w:rFonts w:ascii="Arial" w:hAnsi="Arial" w:cs="Arial"/>
                <w:b/>
                <w:sz w:val="18"/>
                <w:szCs w:val="18"/>
              </w:rPr>
              <w:t>NUMERAL 4.14 DE LOS LINEAMIENTOS</w:t>
            </w:r>
          </w:p>
          <w:p w14:paraId="6FF19FDF" w14:textId="77777777" w:rsidR="005F5E79" w:rsidRPr="00CD6806" w:rsidRDefault="005F5E79" w:rsidP="00B54A63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D680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Forma de pago</w:t>
            </w:r>
          </w:p>
          <w:p w14:paraId="238F2E24" w14:textId="77777777" w:rsidR="005F5E79" w:rsidRPr="00CD6806" w:rsidRDefault="005F5E79" w:rsidP="00B54A63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 establece de la siguiente manera:</w:t>
            </w:r>
          </w:p>
          <w:p w14:paraId="46E9E5EE" w14:textId="77777777" w:rsidR="005F5E79" w:rsidRPr="00CD6806" w:rsidRDefault="005F5E79" w:rsidP="00B54A63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Pago único del </w:t>
            </w:r>
            <w:r w:rsidRPr="00CD6806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100% del valor del servicio</w:t>
            </w: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, dentro de los quince (15) días calendario de otorgada la conformidad de la prestación del servicio emitida por la </w:t>
            </w:r>
            <w:r w:rsidRPr="00CD6806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Oficina de Fortalecimiento de la Gestión de las IES Públicas del PMESUT</w:t>
            </w:r>
          </w:p>
        </w:tc>
        <w:tc>
          <w:tcPr>
            <w:tcW w:w="4315" w:type="dxa"/>
            <w:vAlign w:val="center"/>
          </w:tcPr>
          <w:p w14:paraId="1626C6E9" w14:textId="77777777" w:rsidR="005F5E79" w:rsidRPr="00CD6806" w:rsidRDefault="005F5E79" w:rsidP="00B54A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CD6806">
              <w:rPr>
                <w:rFonts w:ascii="Arial" w:hAnsi="Arial" w:cs="Arial"/>
                <w:b/>
                <w:sz w:val="18"/>
                <w:szCs w:val="18"/>
              </w:rPr>
              <w:t>NUMERAL 4.14 DE LOS LINEAMIENTOS</w:t>
            </w:r>
          </w:p>
          <w:p w14:paraId="68A99E40" w14:textId="77777777" w:rsidR="005F5E79" w:rsidRPr="00CD6806" w:rsidRDefault="005F5E79" w:rsidP="00B54A63">
            <w:pPr>
              <w:widowControl w:val="0"/>
              <w:jc w:val="both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CD680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Forma de pago</w:t>
            </w:r>
          </w:p>
          <w:p w14:paraId="4E28F3A3" w14:textId="77777777" w:rsidR="005F5E79" w:rsidRPr="00CD6806" w:rsidRDefault="005F5E79" w:rsidP="00B54A63">
            <w:pPr>
              <w:spacing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 establece de la siguiente manera:</w:t>
            </w:r>
          </w:p>
          <w:p w14:paraId="14178DC2" w14:textId="77777777" w:rsidR="005F5E79" w:rsidRPr="00CD6806" w:rsidRDefault="005F5E79" w:rsidP="00B54A6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Pago único del </w:t>
            </w:r>
            <w:r w:rsidRPr="00CD6806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100% del valor del ítem culminado</w:t>
            </w:r>
            <w:r w:rsidRPr="00CD6806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, dentro de los quince (15) días calendario de otorgada la conformidad del ítem de la prestación del servicio emitida por la </w:t>
            </w:r>
            <w:r w:rsidRPr="00CD6806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Oficina de Fortalecimiento de la Gestión de las IES Públicas del PMESUT</w:t>
            </w:r>
          </w:p>
        </w:tc>
      </w:tr>
      <w:tr w:rsidR="00F75F64" w:rsidRPr="00CD6806" w14:paraId="1A07C8AC" w14:textId="77777777" w:rsidTr="00F75F64">
        <w:trPr>
          <w:trHeight w:val="1608"/>
        </w:trPr>
        <w:tc>
          <w:tcPr>
            <w:tcW w:w="1129" w:type="dxa"/>
            <w:vAlign w:val="center"/>
          </w:tcPr>
          <w:p w14:paraId="68FD3773" w14:textId="2A53401D" w:rsidR="00F75F64" w:rsidRPr="00CD6806" w:rsidRDefault="00F75F64" w:rsidP="00F75F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8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55453016" w14:textId="346417E5" w:rsidR="00F75F64" w:rsidRPr="00BF712D" w:rsidRDefault="00F75F64" w:rsidP="00F75F64">
            <w:pPr>
              <w:ind w:left="-142" w:right="-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12D">
              <w:rPr>
                <w:rFonts w:ascii="Arial" w:hAnsi="Arial" w:cs="Arial"/>
                <w:sz w:val="16"/>
                <w:szCs w:val="16"/>
              </w:rPr>
              <w:t>LINEAMIENTOS</w:t>
            </w:r>
          </w:p>
        </w:tc>
        <w:tc>
          <w:tcPr>
            <w:tcW w:w="1418" w:type="dxa"/>
            <w:vAlign w:val="center"/>
          </w:tcPr>
          <w:p w14:paraId="6D7A5C35" w14:textId="77777777" w:rsidR="00F75F64" w:rsidRPr="00BF712D" w:rsidRDefault="00F75F64" w:rsidP="00F75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712D">
              <w:rPr>
                <w:rFonts w:ascii="Arial" w:hAnsi="Arial" w:cs="Arial"/>
                <w:b/>
                <w:sz w:val="16"/>
                <w:szCs w:val="16"/>
              </w:rPr>
              <w:t>NUMERAL 4</w:t>
            </w:r>
          </w:p>
          <w:p w14:paraId="0A305272" w14:textId="4D5F55FF" w:rsidR="00F75F64" w:rsidRPr="00BF712D" w:rsidRDefault="00F75F64" w:rsidP="00F75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712D">
              <w:rPr>
                <w:rFonts w:ascii="Arial" w:hAnsi="Arial" w:cs="Arial"/>
                <w:b/>
                <w:sz w:val="16"/>
                <w:szCs w:val="16"/>
              </w:rPr>
              <w:t>4.6.8 FORMULARIO N° 08 – Del personal propuesto</w:t>
            </w:r>
          </w:p>
          <w:p w14:paraId="7AD7962F" w14:textId="77777777" w:rsidR="00F75F64" w:rsidRPr="00BF712D" w:rsidRDefault="00F75F64" w:rsidP="00F75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712D">
              <w:rPr>
                <w:rFonts w:ascii="Arial" w:hAnsi="Arial" w:cs="Arial"/>
                <w:sz w:val="16"/>
                <w:szCs w:val="16"/>
              </w:rPr>
              <w:t>PAGINA N° 9</w:t>
            </w:r>
          </w:p>
          <w:p w14:paraId="5A5298C1" w14:textId="77777777" w:rsidR="00F75F64" w:rsidRPr="00BF712D" w:rsidRDefault="00F75F64" w:rsidP="00F75F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70BF693A" w14:textId="48973DBC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sz w:val="18"/>
                <w:szCs w:val="18"/>
              </w:rPr>
              <w:t>NUMERAL 4.6.8 DE LOS LINEAMIENTOS</w:t>
            </w:r>
          </w:p>
          <w:p w14:paraId="6D2843E3" w14:textId="3CC15F90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sz w:val="18"/>
                <w:szCs w:val="18"/>
              </w:rPr>
              <w:t>Del personal propuesto</w:t>
            </w:r>
          </w:p>
          <w:p w14:paraId="4FEAA0C6" w14:textId="77777777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BFA24" w14:textId="1052B4B1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712D">
              <w:rPr>
                <w:rFonts w:ascii="Arial" w:hAnsi="Arial" w:cs="Arial"/>
                <w:sz w:val="18"/>
                <w:szCs w:val="18"/>
              </w:rPr>
              <w:t>Se establece de la siguiente manera:</w:t>
            </w:r>
          </w:p>
          <w:p w14:paraId="087697FD" w14:textId="77777777" w:rsidR="00F75F64" w:rsidRPr="00BF712D" w:rsidRDefault="00F75F64" w:rsidP="00F75F64">
            <w:pPr>
              <w:spacing w:after="120"/>
              <w:jc w:val="both"/>
              <w:rPr>
                <w:rFonts w:ascii="Arial" w:hAnsi="Arial" w:cs="Arial"/>
                <w:iCs/>
                <w:color w:val="0000FF"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Nota importante</w:t>
            </w:r>
            <w:r w:rsidRPr="00BF712D">
              <w:rPr>
                <w:rFonts w:ascii="Arial" w:hAnsi="Arial" w:cs="Arial"/>
                <w:iCs/>
                <w:sz w:val="18"/>
                <w:szCs w:val="18"/>
              </w:rPr>
              <w:t>: El personal propuesto es único para cada lote</w:t>
            </w:r>
            <w:r w:rsidRPr="00BF712D">
              <w:rPr>
                <w:rFonts w:ascii="Arial" w:hAnsi="Arial" w:cs="Arial"/>
                <w:iCs/>
                <w:color w:val="0000FF"/>
                <w:sz w:val="18"/>
                <w:szCs w:val="18"/>
              </w:rPr>
              <w:t>.</w:t>
            </w:r>
          </w:p>
          <w:p w14:paraId="2DBAF902" w14:textId="77777777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5" w:type="dxa"/>
            <w:vAlign w:val="center"/>
          </w:tcPr>
          <w:p w14:paraId="27F10863" w14:textId="77777777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sz w:val="18"/>
                <w:szCs w:val="18"/>
              </w:rPr>
              <w:t>NUMERAL 4.6.8 DE LOS LINEAMIENTOS</w:t>
            </w:r>
          </w:p>
          <w:p w14:paraId="64DB770F" w14:textId="77777777" w:rsidR="00F75F64" w:rsidRPr="00BF712D" w:rsidRDefault="00F75F64" w:rsidP="00F75F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sz w:val="18"/>
                <w:szCs w:val="18"/>
              </w:rPr>
              <w:t>Del personal propuesto</w:t>
            </w:r>
          </w:p>
          <w:p w14:paraId="2D8C6263" w14:textId="77777777" w:rsidR="00F75F64" w:rsidRPr="00BF712D" w:rsidRDefault="00F75F64" w:rsidP="00F75F6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953A05" w14:textId="77777777" w:rsidR="00F75F64" w:rsidRPr="00BF712D" w:rsidRDefault="00F75F64" w:rsidP="00175381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F712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 establece de la siguiente manera:</w:t>
            </w:r>
          </w:p>
          <w:p w14:paraId="4AFA63A2" w14:textId="44CAB618" w:rsidR="007642D8" w:rsidRPr="00BF712D" w:rsidRDefault="007642D8" w:rsidP="00175381">
            <w:pPr>
              <w:jc w:val="both"/>
              <w:rPr>
                <w:rFonts w:ascii="Arial" w:hAnsi="Arial" w:cs="Arial"/>
                <w:iCs/>
                <w:color w:val="0000FF"/>
                <w:sz w:val="18"/>
                <w:szCs w:val="18"/>
              </w:rPr>
            </w:pPr>
            <w:r w:rsidRPr="00BF712D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Nota importante</w:t>
            </w:r>
            <w:r w:rsidRPr="00BF712D">
              <w:rPr>
                <w:rFonts w:ascii="Arial" w:hAnsi="Arial" w:cs="Arial"/>
                <w:iCs/>
                <w:sz w:val="18"/>
                <w:szCs w:val="18"/>
              </w:rPr>
              <w:t>: El personal propuesto es único para cada ítem o servicio</w:t>
            </w:r>
            <w:r w:rsidRPr="00BF712D">
              <w:rPr>
                <w:rFonts w:ascii="Arial" w:hAnsi="Arial" w:cs="Arial"/>
                <w:iCs/>
                <w:color w:val="0000FF"/>
                <w:sz w:val="18"/>
                <w:szCs w:val="18"/>
              </w:rPr>
              <w:t>.</w:t>
            </w:r>
          </w:p>
          <w:p w14:paraId="78EF93D8" w14:textId="33744837" w:rsidR="00F75F64" w:rsidRPr="00BF712D" w:rsidRDefault="00F75F64" w:rsidP="007642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6986EB" w14:textId="5080DFAE" w:rsidR="005F5E79" w:rsidRDefault="005F5E79" w:rsidP="005F5E79">
      <w:pPr>
        <w:spacing w:after="0" w:line="240" w:lineRule="auto"/>
      </w:pPr>
      <w:bookmarkStart w:id="0" w:name="_GoBack"/>
      <w:bookmarkEnd w:id="0"/>
    </w:p>
    <w:p w14:paraId="3E2025A6" w14:textId="5CFC8E56" w:rsidR="005F5E79" w:rsidRDefault="005F5E79">
      <w:pPr>
        <w:spacing w:after="0" w:line="240" w:lineRule="auto"/>
      </w:pPr>
    </w:p>
    <w:sectPr w:rsidR="005F5E79" w:rsidSect="008904FA">
      <w:pgSz w:w="16839" w:h="11907" w:orient="landscape" w:code="9"/>
      <w:pgMar w:top="1843" w:right="1418" w:bottom="141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11EC" w14:textId="77777777" w:rsidR="00D9334B" w:rsidRDefault="00D9334B" w:rsidP="007F69A0">
      <w:pPr>
        <w:spacing w:after="0" w:line="240" w:lineRule="auto"/>
      </w:pPr>
      <w:r>
        <w:separator/>
      </w:r>
    </w:p>
  </w:endnote>
  <w:endnote w:type="continuationSeparator" w:id="0">
    <w:p w14:paraId="7A01B2F3" w14:textId="77777777" w:rsidR="00D9334B" w:rsidRDefault="00D9334B" w:rsidP="007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A094" w14:textId="77777777" w:rsidR="00D9334B" w:rsidRDefault="00D9334B" w:rsidP="007F69A0">
      <w:pPr>
        <w:spacing w:after="0" w:line="240" w:lineRule="auto"/>
      </w:pPr>
      <w:r>
        <w:separator/>
      </w:r>
    </w:p>
  </w:footnote>
  <w:footnote w:type="continuationSeparator" w:id="0">
    <w:p w14:paraId="678BB5A2" w14:textId="77777777" w:rsidR="00D9334B" w:rsidRDefault="00D9334B" w:rsidP="007F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3FE3"/>
    <w:multiLevelType w:val="multilevel"/>
    <w:tmpl w:val="359A9CB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1EA43C3B"/>
    <w:multiLevelType w:val="multilevel"/>
    <w:tmpl w:val="D27C65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83E6ECC"/>
    <w:multiLevelType w:val="multilevel"/>
    <w:tmpl w:val="B0703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79D1067"/>
    <w:multiLevelType w:val="multilevel"/>
    <w:tmpl w:val="C590E2D2"/>
    <w:lvl w:ilvl="0">
      <w:numFmt w:val="bullet"/>
      <w:lvlText w:val="-"/>
      <w:lvlJc w:val="left"/>
      <w:pPr>
        <w:ind w:left="822" w:hanging="360"/>
      </w:pPr>
      <w:rPr>
        <w:rFonts w:ascii="Arial MT" w:eastAsia="Arial MT" w:hAnsi="Arial MT" w:cs="Arial M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62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227" w:hanging="360"/>
      </w:pPr>
    </w:lvl>
    <w:lvl w:ilvl="4">
      <w:numFmt w:val="bullet"/>
      <w:lvlText w:val="•"/>
      <w:lvlJc w:val="left"/>
      <w:pPr>
        <w:ind w:left="4030" w:hanging="360"/>
      </w:pPr>
    </w:lvl>
    <w:lvl w:ilvl="5">
      <w:numFmt w:val="bullet"/>
      <w:lvlText w:val="•"/>
      <w:lvlJc w:val="left"/>
      <w:pPr>
        <w:ind w:left="4833" w:hanging="360"/>
      </w:pPr>
    </w:lvl>
    <w:lvl w:ilvl="6">
      <w:numFmt w:val="bullet"/>
      <w:lvlText w:val="•"/>
      <w:lvlJc w:val="left"/>
      <w:pPr>
        <w:ind w:left="5635" w:hanging="360"/>
      </w:pPr>
    </w:lvl>
    <w:lvl w:ilvl="7">
      <w:numFmt w:val="bullet"/>
      <w:lvlText w:val="•"/>
      <w:lvlJc w:val="left"/>
      <w:pPr>
        <w:ind w:left="6438" w:hanging="360"/>
      </w:pPr>
    </w:lvl>
    <w:lvl w:ilvl="8">
      <w:numFmt w:val="bullet"/>
      <w:lvlText w:val="•"/>
      <w:lvlJc w:val="left"/>
      <w:pPr>
        <w:ind w:left="7241" w:hanging="360"/>
      </w:pPr>
    </w:lvl>
  </w:abstractNum>
  <w:abstractNum w:abstractNumId="4">
    <w:nsid w:val="54503A40"/>
    <w:multiLevelType w:val="multilevel"/>
    <w:tmpl w:val="F45C2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C66797F"/>
    <w:multiLevelType w:val="hybridMultilevel"/>
    <w:tmpl w:val="7B5023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484"/>
    <w:multiLevelType w:val="multilevel"/>
    <w:tmpl w:val="D12030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5854938"/>
    <w:multiLevelType w:val="multilevel"/>
    <w:tmpl w:val="6CDA67E0"/>
    <w:lvl w:ilvl="0">
      <w:start w:val="1"/>
      <w:numFmt w:val="decimal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D"/>
    <w:rsid w:val="00013A48"/>
    <w:rsid w:val="000322DE"/>
    <w:rsid w:val="00034173"/>
    <w:rsid w:val="00065AC6"/>
    <w:rsid w:val="000E537C"/>
    <w:rsid w:val="000E7E81"/>
    <w:rsid w:val="00113ACE"/>
    <w:rsid w:val="00175381"/>
    <w:rsid w:val="001C72A8"/>
    <w:rsid w:val="00246EC7"/>
    <w:rsid w:val="00266C66"/>
    <w:rsid w:val="002E5503"/>
    <w:rsid w:val="0035317F"/>
    <w:rsid w:val="003E62A2"/>
    <w:rsid w:val="00404F34"/>
    <w:rsid w:val="00425D45"/>
    <w:rsid w:val="00451E88"/>
    <w:rsid w:val="00463C39"/>
    <w:rsid w:val="004A5910"/>
    <w:rsid w:val="004B4B1B"/>
    <w:rsid w:val="004B60A0"/>
    <w:rsid w:val="004D78F2"/>
    <w:rsid w:val="00541380"/>
    <w:rsid w:val="00570F5C"/>
    <w:rsid w:val="005766A0"/>
    <w:rsid w:val="00597AE1"/>
    <w:rsid w:val="005E7D99"/>
    <w:rsid w:val="005F5E79"/>
    <w:rsid w:val="006072D1"/>
    <w:rsid w:val="00630B85"/>
    <w:rsid w:val="00683886"/>
    <w:rsid w:val="006E55EB"/>
    <w:rsid w:val="006F7299"/>
    <w:rsid w:val="0071195D"/>
    <w:rsid w:val="00734666"/>
    <w:rsid w:val="007642D8"/>
    <w:rsid w:val="00773104"/>
    <w:rsid w:val="00781F0F"/>
    <w:rsid w:val="00783B31"/>
    <w:rsid w:val="00793F37"/>
    <w:rsid w:val="007C2D96"/>
    <w:rsid w:val="007E4816"/>
    <w:rsid w:val="007F69A0"/>
    <w:rsid w:val="0080404B"/>
    <w:rsid w:val="008172F0"/>
    <w:rsid w:val="0087721E"/>
    <w:rsid w:val="0088180A"/>
    <w:rsid w:val="008904FA"/>
    <w:rsid w:val="008B2887"/>
    <w:rsid w:val="008D306D"/>
    <w:rsid w:val="008E617D"/>
    <w:rsid w:val="008F45C7"/>
    <w:rsid w:val="00924451"/>
    <w:rsid w:val="009956F2"/>
    <w:rsid w:val="009A080E"/>
    <w:rsid w:val="009B106C"/>
    <w:rsid w:val="00A23E23"/>
    <w:rsid w:val="00AA5338"/>
    <w:rsid w:val="00AB0FB6"/>
    <w:rsid w:val="00B525C9"/>
    <w:rsid w:val="00B638DE"/>
    <w:rsid w:val="00BD2187"/>
    <w:rsid w:val="00BE340A"/>
    <w:rsid w:val="00BE6283"/>
    <w:rsid w:val="00BF712D"/>
    <w:rsid w:val="00C03E18"/>
    <w:rsid w:val="00C11F5F"/>
    <w:rsid w:val="00C8124E"/>
    <w:rsid w:val="00CA71F0"/>
    <w:rsid w:val="00D9334B"/>
    <w:rsid w:val="00D94322"/>
    <w:rsid w:val="00D976B6"/>
    <w:rsid w:val="00E026FC"/>
    <w:rsid w:val="00E02988"/>
    <w:rsid w:val="00E55E6B"/>
    <w:rsid w:val="00E70028"/>
    <w:rsid w:val="00E73E46"/>
    <w:rsid w:val="00F31FF5"/>
    <w:rsid w:val="00F53BD5"/>
    <w:rsid w:val="00F53F6E"/>
    <w:rsid w:val="00F72933"/>
    <w:rsid w:val="00F75F64"/>
    <w:rsid w:val="00FC43DE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0C8D27"/>
  <w15:docId w15:val="{365BE491-978C-42C9-9E74-D10BD304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85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A85E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3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886791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6791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70F5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9A0"/>
  </w:style>
  <w:style w:type="paragraph" w:styleId="Piedepgina">
    <w:name w:val="footer"/>
    <w:basedOn w:val="Normal"/>
    <w:link w:val="PiedepginaCar"/>
    <w:uiPriority w:val="99"/>
    <w:unhideWhenUsed/>
    <w:rsid w:val="007F6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9A0"/>
  </w:style>
  <w:style w:type="table" w:customStyle="1" w:styleId="Tablaconcuadrcula1">
    <w:name w:val="Tabla con cuadrícula1"/>
    <w:basedOn w:val="Tablanormal"/>
    <w:next w:val="Tablaconcuadrcula"/>
    <w:uiPriority w:val="39"/>
    <w:rsid w:val="005F5E7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6DgEcgAPKtXapQNcSRxzgkfTw==">CgMxLjA4AHIhMTNDZ0ttLXdidC1KUUFrc3ROSDZNMVpVZGQ2bGlYRW9D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6B0030-41F6-4EDD-B844-CE06D54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Paul Jara Vela</dc:creator>
  <cp:lastModifiedBy>Max Antonio Espinoza Garcia</cp:lastModifiedBy>
  <cp:revision>2</cp:revision>
  <dcterms:created xsi:type="dcterms:W3CDTF">2024-09-09T22:22:00Z</dcterms:created>
  <dcterms:modified xsi:type="dcterms:W3CDTF">2024-09-09T22:22:00Z</dcterms:modified>
</cp:coreProperties>
</file>